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E79" w:rsidRDefault="00810E79" w:rsidP="00810E79">
      <w:pPr>
        <w:pStyle w:val="BodyText"/>
        <w:spacing w:before="320" w:line="276" w:lineRule="auto"/>
        <w:rPr>
          <w:rFonts w:cs="Arial"/>
          <w:b/>
          <w:color w:val="C00000"/>
          <w:sz w:val="22"/>
          <w:szCs w:val="22"/>
        </w:rPr>
      </w:pPr>
      <w:r>
        <w:rPr>
          <w:rFonts w:cs="Arial"/>
          <w:b/>
          <w:noProof/>
          <w:color w:val="C00000"/>
          <w:sz w:val="22"/>
          <w:szCs w:val="22"/>
          <w:lang w:eastAsia="en-NZ"/>
        </w:rPr>
        <w:drawing>
          <wp:anchor distT="0" distB="0" distL="114300" distR="114300" simplePos="0" relativeHeight="251658240" behindDoc="1" locked="0" layoutInCell="1" allowOverlap="1" wp14:anchorId="7841C44E" wp14:editId="0E14CDEA">
            <wp:simplePos x="0" y="0"/>
            <wp:positionH relativeFrom="column">
              <wp:posOffset>3995116</wp:posOffset>
            </wp:positionH>
            <wp:positionV relativeFrom="paragraph">
              <wp:posOffset>-437515</wp:posOffset>
            </wp:positionV>
            <wp:extent cx="2006600" cy="492760"/>
            <wp:effectExtent l="0" t="0" r="0" b="2540"/>
            <wp:wrapNone/>
            <wp:docPr id="1" name="Picture 1" descr="\\citycare.local\DivisionDrives\Corporate Services\BusinessDevelopment\Marketing\Logos&amp;Devices\1. Citycare current logos\Wide\CITYCARE GROUP\CMYK\Citycare-Group_Logo-Wide_CMYK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care.local\DivisionDrives\Corporate Services\BusinessDevelopment\Marketing\Logos&amp;Devices\1. Citycare current logos\Wide\CITYCARE GROUP\CMYK\Citycare-Group_Logo-Wide_CMYKjpg_Page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6600" cy="492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0E79">
        <w:rPr>
          <w:b/>
          <w:sz w:val="36"/>
          <w:szCs w:val="28"/>
        </w:rPr>
        <w:t xml:space="preserve">Holidays Act 2003 Compliance – </w:t>
      </w:r>
      <w:r w:rsidR="00F070DF" w:rsidRPr="00810E79">
        <w:rPr>
          <w:b/>
          <w:sz w:val="36"/>
          <w:szCs w:val="28"/>
        </w:rPr>
        <w:t>Q&amp;As</w:t>
      </w:r>
    </w:p>
    <w:p w:rsidR="00810E79" w:rsidRDefault="00CB5534" w:rsidP="00810E79">
      <w:pPr>
        <w:pStyle w:val="BodyText"/>
        <w:spacing w:line="276" w:lineRule="auto"/>
        <w:rPr>
          <w:rFonts w:cs="Arial"/>
          <w:b/>
          <w:color w:val="C00000"/>
          <w:sz w:val="22"/>
          <w:szCs w:val="22"/>
        </w:rPr>
      </w:pPr>
      <w:r>
        <w:rPr>
          <w:rFonts w:cs="Arial"/>
          <w:b/>
          <w:color w:val="C00000"/>
          <w:sz w:val="22"/>
          <w:szCs w:val="22"/>
        </w:rPr>
        <w:pict>
          <v:rect id="_x0000_i1025" style="width:0;height:1.5pt" o:hralign="center" o:hrstd="t" o:hr="t" fillcolor="#a0a0a0" stroked="f"/>
        </w:pict>
      </w:r>
    </w:p>
    <w:p w:rsidR="00F070DF" w:rsidRPr="00810E79" w:rsidRDefault="00F070DF" w:rsidP="00810E79">
      <w:pPr>
        <w:pStyle w:val="BodyText"/>
        <w:spacing w:before="0" w:after="0" w:line="276" w:lineRule="auto"/>
        <w:rPr>
          <w:rFonts w:cs="Arial"/>
          <w:b/>
          <w:color w:val="C00000"/>
          <w:sz w:val="22"/>
          <w:szCs w:val="22"/>
        </w:rPr>
      </w:pPr>
    </w:p>
    <w:p w:rsidR="00F070DF" w:rsidRPr="00810E79" w:rsidRDefault="00F070DF" w:rsidP="00810E79">
      <w:pPr>
        <w:pStyle w:val="BodyText"/>
        <w:numPr>
          <w:ilvl w:val="0"/>
          <w:numId w:val="1"/>
        </w:numPr>
        <w:spacing w:before="0" w:after="0" w:line="276" w:lineRule="auto"/>
        <w:rPr>
          <w:rFonts w:cs="Arial"/>
          <w:b/>
          <w:color w:val="C00000"/>
          <w:szCs w:val="22"/>
        </w:rPr>
      </w:pPr>
      <w:r w:rsidRPr="00810E79">
        <w:rPr>
          <w:rFonts w:cs="Arial"/>
          <w:b/>
          <w:color w:val="C00000"/>
          <w:szCs w:val="22"/>
        </w:rPr>
        <w:t>Why didn’t Citycare have holiday payments right previously?</w:t>
      </w:r>
    </w:p>
    <w:p w:rsidR="00810E79" w:rsidRPr="00810E79" w:rsidRDefault="00810E79" w:rsidP="00810E79">
      <w:pPr>
        <w:pStyle w:val="BodyText"/>
        <w:spacing w:before="0" w:after="0" w:line="276" w:lineRule="auto"/>
        <w:jc w:val="both"/>
        <w:rPr>
          <w:rFonts w:cs="Arial"/>
          <w:szCs w:val="20"/>
        </w:rPr>
      </w:pPr>
    </w:p>
    <w:p w:rsidR="00F070DF" w:rsidRPr="00810E79" w:rsidRDefault="00F070DF" w:rsidP="00810E79">
      <w:pPr>
        <w:pStyle w:val="BodyText"/>
        <w:spacing w:before="0" w:after="0" w:line="276" w:lineRule="auto"/>
        <w:jc w:val="both"/>
        <w:rPr>
          <w:rFonts w:cs="Arial"/>
          <w:szCs w:val="20"/>
        </w:rPr>
      </w:pPr>
      <w:r w:rsidRPr="00810E79">
        <w:rPr>
          <w:rFonts w:cs="Arial"/>
          <w:szCs w:val="20"/>
        </w:rPr>
        <w:t>The Holidays Act 2003 is a complex piece of legislation subject t</w:t>
      </w:r>
      <w:r w:rsidR="00B02F2D">
        <w:rPr>
          <w:rFonts w:cs="Arial"/>
          <w:szCs w:val="20"/>
        </w:rPr>
        <w:t>o a number of interpretations. </w:t>
      </w:r>
      <w:r w:rsidRPr="00810E79">
        <w:rPr>
          <w:szCs w:val="20"/>
        </w:rPr>
        <w:t xml:space="preserve">Citycare has proactively reviewed its compliance with the Holidays Act 2003 and had an independent expert conduct the review. This review found some issues with Citycare’s compliance along with the majority of employers in New Zealand. We have been working hard since then to check the calculation of holiday and leave payments for all current and former employees. </w:t>
      </w:r>
    </w:p>
    <w:p w:rsidR="00810E79" w:rsidRPr="00810E79" w:rsidRDefault="00810E79" w:rsidP="00810E79">
      <w:pPr>
        <w:pStyle w:val="BodyText"/>
        <w:spacing w:before="0" w:after="0" w:line="276" w:lineRule="auto"/>
        <w:jc w:val="both"/>
        <w:rPr>
          <w:szCs w:val="20"/>
        </w:rPr>
      </w:pPr>
    </w:p>
    <w:p w:rsidR="00F070DF" w:rsidRPr="00810E79" w:rsidRDefault="00F070DF" w:rsidP="00810E79">
      <w:pPr>
        <w:pStyle w:val="BodyText"/>
        <w:spacing w:before="0" w:after="0" w:line="276" w:lineRule="auto"/>
        <w:jc w:val="both"/>
        <w:rPr>
          <w:rFonts w:cs="Arial"/>
          <w:szCs w:val="20"/>
        </w:rPr>
      </w:pPr>
      <w:r w:rsidRPr="00810E79">
        <w:rPr>
          <w:szCs w:val="20"/>
        </w:rPr>
        <w:t xml:space="preserve">We have been very proactive to ensure Citycare fully complies with the requirements of the Holidays Act </w:t>
      </w:r>
      <w:r w:rsidRPr="00810E79">
        <w:rPr>
          <w:rFonts w:cs="Arial"/>
          <w:szCs w:val="20"/>
        </w:rPr>
        <w:t>and that all employees are paid correctly.</w:t>
      </w:r>
    </w:p>
    <w:p w:rsidR="00F070DF" w:rsidRPr="00810E79" w:rsidRDefault="00F070DF" w:rsidP="00810E79">
      <w:pPr>
        <w:pStyle w:val="BodyText"/>
        <w:spacing w:before="0" w:after="0" w:line="276" w:lineRule="auto"/>
        <w:jc w:val="both"/>
        <w:rPr>
          <w:rFonts w:cs="Arial"/>
          <w:sz w:val="24"/>
          <w:szCs w:val="20"/>
        </w:rPr>
      </w:pPr>
    </w:p>
    <w:p w:rsidR="00F070DF" w:rsidRPr="00810E79" w:rsidRDefault="00F070DF" w:rsidP="00810E79">
      <w:pPr>
        <w:pStyle w:val="BodyText"/>
        <w:widowControl/>
        <w:numPr>
          <w:ilvl w:val="0"/>
          <w:numId w:val="1"/>
        </w:numPr>
        <w:spacing w:before="0" w:after="0" w:line="276" w:lineRule="auto"/>
        <w:jc w:val="both"/>
        <w:rPr>
          <w:rFonts w:cs="Arial"/>
          <w:b/>
          <w:color w:val="C00000"/>
          <w:szCs w:val="22"/>
        </w:rPr>
      </w:pPr>
      <w:r w:rsidRPr="00810E79">
        <w:rPr>
          <w:rFonts w:cs="Arial"/>
          <w:b/>
          <w:color w:val="C00000"/>
          <w:szCs w:val="22"/>
        </w:rPr>
        <w:t xml:space="preserve">How do I know your calculations for my payment are correct?  </w:t>
      </w:r>
    </w:p>
    <w:p w:rsidR="00810E79" w:rsidRPr="00810E79" w:rsidRDefault="00810E79" w:rsidP="00810E79">
      <w:pPr>
        <w:pStyle w:val="BodyText"/>
        <w:spacing w:before="0" w:after="0" w:line="276" w:lineRule="auto"/>
        <w:jc w:val="both"/>
        <w:rPr>
          <w:rFonts w:cs="Arial"/>
          <w:szCs w:val="20"/>
        </w:rPr>
      </w:pPr>
    </w:p>
    <w:p w:rsidR="00F070DF" w:rsidRPr="00810E79" w:rsidRDefault="00F070DF" w:rsidP="00810E79">
      <w:pPr>
        <w:pStyle w:val="BodyText"/>
        <w:spacing w:before="0" w:after="0" w:line="276" w:lineRule="auto"/>
        <w:jc w:val="both"/>
        <w:rPr>
          <w:rFonts w:cs="Arial"/>
          <w:szCs w:val="20"/>
        </w:rPr>
      </w:pPr>
      <w:r w:rsidRPr="00810E79">
        <w:rPr>
          <w:rFonts w:cs="Arial"/>
          <w:szCs w:val="20"/>
        </w:rPr>
        <w:t>We have had independent financial experts experienced in holiday pay processes and reviews</w:t>
      </w:r>
      <w:r w:rsidR="00B02F2D">
        <w:rPr>
          <w:rFonts w:cs="Arial"/>
          <w:szCs w:val="20"/>
        </w:rPr>
        <w:t xml:space="preserve"> complete the calculations. </w:t>
      </w:r>
      <w:r w:rsidRPr="00810E79">
        <w:rPr>
          <w:rFonts w:cs="Arial"/>
          <w:szCs w:val="20"/>
        </w:rPr>
        <w:t xml:space="preserve">Their calculations have been reviewed by and meet the requirements of </w:t>
      </w:r>
      <w:r w:rsidRPr="00810E79">
        <w:rPr>
          <w:szCs w:val="20"/>
        </w:rPr>
        <w:t>the Labour Inspectorate at the Ministry of Business, Innovation and Employment (MBIE).</w:t>
      </w:r>
      <w:r w:rsidRPr="00810E79">
        <w:rPr>
          <w:rFonts w:cs="Arial"/>
          <w:szCs w:val="20"/>
        </w:rPr>
        <w:t xml:space="preserve"> This has been a very thorough process.</w:t>
      </w:r>
    </w:p>
    <w:p w:rsidR="00F070DF" w:rsidRPr="00810E79" w:rsidRDefault="00F070DF" w:rsidP="00810E79">
      <w:pPr>
        <w:pStyle w:val="BodyText"/>
        <w:spacing w:before="0" w:after="0" w:line="276" w:lineRule="auto"/>
        <w:jc w:val="both"/>
        <w:rPr>
          <w:rFonts w:cs="Arial"/>
          <w:sz w:val="24"/>
          <w:szCs w:val="20"/>
        </w:rPr>
      </w:pPr>
    </w:p>
    <w:p w:rsidR="00F070DF" w:rsidRPr="00810E79" w:rsidRDefault="00F070DF" w:rsidP="00810E79">
      <w:pPr>
        <w:pStyle w:val="BodyText"/>
        <w:numPr>
          <w:ilvl w:val="0"/>
          <w:numId w:val="1"/>
        </w:numPr>
        <w:spacing w:before="0" w:after="0" w:line="276" w:lineRule="auto"/>
        <w:jc w:val="both"/>
        <w:rPr>
          <w:rFonts w:cs="Arial"/>
          <w:b/>
          <w:color w:val="C00000"/>
          <w:szCs w:val="22"/>
        </w:rPr>
      </w:pPr>
      <w:r w:rsidRPr="00810E79">
        <w:rPr>
          <w:rFonts w:cs="Arial"/>
          <w:b/>
          <w:color w:val="C00000"/>
          <w:szCs w:val="22"/>
        </w:rPr>
        <w:t xml:space="preserve">Why am I getting </w:t>
      </w:r>
      <w:r w:rsidR="00810E79" w:rsidRPr="00810E79">
        <w:rPr>
          <w:rFonts w:cs="Arial"/>
          <w:b/>
          <w:color w:val="C00000"/>
          <w:szCs w:val="22"/>
        </w:rPr>
        <w:t>two</w:t>
      </w:r>
      <w:r w:rsidRPr="00810E79">
        <w:rPr>
          <w:rFonts w:cs="Arial"/>
          <w:b/>
          <w:color w:val="C00000"/>
          <w:szCs w:val="22"/>
        </w:rPr>
        <w:t xml:space="preserve"> amounts in my payment</w:t>
      </w:r>
      <w:r w:rsidR="00810E79" w:rsidRPr="00810E79">
        <w:rPr>
          <w:rFonts w:cs="Arial"/>
          <w:b/>
          <w:color w:val="C00000"/>
          <w:szCs w:val="22"/>
        </w:rPr>
        <w:t>?</w:t>
      </w:r>
    </w:p>
    <w:p w:rsidR="00810E79" w:rsidRPr="00810E79" w:rsidRDefault="00810E79" w:rsidP="00810E79">
      <w:pPr>
        <w:pStyle w:val="BodyText"/>
        <w:spacing w:before="0" w:after="0" w:line="276" w:lineRule="auto"/>
        <w:jc w:val="both"/>
        <w:rPr>
          <w:rFonts w:cs="Arial"/>
          <w:szCs w:val="20"/>
        </w:rPr>
      </w:pPr>
    </w:p>
    <w:p w:rsidR="00F070DF" w:rsidRPr="00810E79" w:rsidRDefault="00F070DF" w:rsidP="00810E79">
      <w:pPr>
        <w:pStyle w:val="BodyText"/>
        <w:spacing w:before="0" w:after="0" w:line="276" w:lineRule="auto"/>
        <w:jc w:val="both"/>
        <w:rPr>
          <w:rFonts w:cs="Arial"/>
          <w:szCs w:val="20"/>
        </w:rPr>
      </w:pPr>
      <w:r w:rsidRPr="00810E79">
        <w:rPr>
          <w:rFonts w:cs="Arial"/>
          <w:szCs w:val="20"/>
        </w:rPr>
        <w:t>One amount applies to previous 52 weeks and the other to the period of time before that (if applicable). It will be paid as one payment.</w:t>
      </w:r>
    </w:p>
    <w:p w:rsidR="00F070DF" w:rsidRPr="00810E79" w:rsidRDefault="00F070DF" w:rsidP="00810E79">
      <w:pPr>
        <w:pStyle w:val="BodyText"/>
        <w:spacing w:before="0" w:after="0" w:line="276" w:lineRule="auto"/>
        <w:jc w:val="both"/>
        <w:rPr>
          <w:rFonts w:cs="Arial"/>
          <w:sz w:val="24"/>
          <w:szCs w:val="20"/>
        </w:rPr>
      </w:pPr>
    </w:p>
    <w:p w:rsidR="00F070DF" w:rsidRPr="00810E79" w:rsidRDefault="00F070DF" w:rsidP="00810E79">
      <w:pPr>
        <w:pStyle w:val="BodyText"/>
        <w:widowControl/>
        <w:numPr>
          <w:ilvl w:val="0"/>
          <w:numId w:val="1"/>
        </w:numPr>
        <w:spacing w:before="0" w:after="0" w:line="276" w:lineRule="auto"/>
        <w:jc w:val="both"/>
        <w:rPr>
          <w:rFonts w:cs="Arial"/>
          <w:b/>
          <w:color w:val="C00000"/>
          <w:szCs w:val="22"/>
        </w:rPr>
      </w:pPr>
      <w:r w:rsidRPr="00810E79">
        <w:rPr>
          <w:rFonts w:cs="Arial"/>
          <w:b/>
          <w:color w:val="C00000"/>
          <w:szCs w:val="22"/>
        </w:rPr>
        <w:t>How have you calculated my back pay?</w:t>
      </w:r>
    </w:p>
    <w:p w:rsidR="00810E79" w:rsidRPr="00810E79" w:rsidRDefault="00810E79" w:rsidP="00810E79">
      <w:pPr>
        <w:pStyle w:val="BodyText"/>
        <w:spacing w:before="0" w:after="0" w:line="276" w:lineRule="auto"/>
        <w:jc w:val="both"/>
        <w:rPr>
          <w:rFonts w:cs="Arial"/>
          <w:szCs w:val="20"/>
        </w:rPr>
      </w:pPr>
    </w:p>
    <w:p w:rsidR="00F070DF" w:rsidRPr="00810E79" w:rsidRDefault="00F070DF" w:rsidP="00810E79">
      <w:pPr>
        <w:pStyle w:val="BodyText"/>
        <w:spacing w:before="0" w:after="0" w:line="276" w:lineRule="auto"/>
        <w:jc w:val="both"/>
        <w:rPr>
          <w:rFonts w:cs="Arial"/>
          <w:szCs w:val="20"/>
        </w:rPr>
      </w:pPr>
      <w:r w:rsidRPr="00810E79">
        <w:rPr>
          <w:rFonts w:cs="Arial"/>
          <w:szCs w:val="20"/>
        </w:rPr>
        <w:t xml:space="preserve">The calculation of any back pay is complex and it depends on a number of factors including: </w:t>
      </w:r>
    </w:p>
    <w:p w:rsidR="00F070DF" w:rsidRPr="00810E79" w:rsidRDefault="00F070DF" w:rsidP="00810E79">
      <w:pPr>
        <w:pStyle w:val="BodyText"/>
        <w:widowControl/>
        <w:numPr>
          <w:ilvl w:val="1"/>
          <w:numId w:val="1"/>
        </w:numPr>
        <w:spacing w:before="80" w:after="0" w:line="276" w:lineRule="auto"/>
        <w:ind w:left="1077" w:hanging="357"/>
        <w:jc w:val="both"/>
        <w:rPr>
          <w:rFonts w:cs="Arial"/>
          <w:szCs w:val="20"/>
        </w:rPr>
      </w:pPr>
      <w:r w:rsidRPr="00810E79">
        <w:rPr>
          <w:rFonts w:cs="Arial"/>
          <w:szCs w:val="20"/>
        </w:rPr>
        <w:t xml:space="preserve">The amount of leave you have taken </w:t>
      </w:r>
    </w:p>
    <w:p w:rsidR="00F070DF" w:rsidRPr="00810E79" w:rsidRDefault="00F070DF" w:rsidP="00810E79">
      <w:pPr>
        <w:pStyle w:val="BodyText"/>
        <w:widowControl/>
        <w:numPr>
          <w:ilvl w:val="1"/>
          <w:numId w:val="1"/>
        </w:numPr>
        <w:spacing w:before="0" w:after="0" w:line="276" w:lineRule="auto"/>
        <w:jc w:val="both"/>
        <w:rPr>
          <w:rFonts w:cs="Arial"/>
          <w:szCs w:val="20"/>
        </w:rPr>
      </w:pPr>
      <w:r w:rsidRPr="00810E79">
        <w:rPr>
          <w:rFonts w:cs="Arial"/>
          <w:szCs w:val="20"/>
        </w:rPr>
        <w:t>The timing of that leave</w:t>
      </w:r>
    </w:p>
    <w:p w:rsidR="00F070DF" w:rsidRPr="00810E79" w:rsidRDefault="00F070DF" w:rsidP="00810E79">
      <w:pPr>
        <w:pStyle w:val="BodyText"/>
        <w:widowControl/>
        <w:numPr>
          <w:ilvl w:val="1"/>
          <w:numId w:val="1"/>
        </w:numPr>
        <w:spacing w:before="0" w:after="0" w:line="276" w:lineRule="auto"/>
        <w:jc w:val="both"/>
        <w:rPr>
          <w:rFonts w:cs="Arial"/>
          <w:szCs w:val="20"/>
        </w:rPr>
      </w:pPr>
      <w:r w:rsidRPr="00810E79">
        <w:rPr>
          <w:rFonts w:cs="Arial"/>
          <w:szCs w:val="20"/>
        </w:rPr>
        <w:t xml:space="preserve">The time you have been employed at Citycare </w:t>
      </w:r>
    </w:p>
    <w:p w:rsidR="00F070DF" w:rsidRPr="00810E79" w:rsidRDefault="00F070DF" w:rsidP="00810E79">
      <w:pPr>
        <w:pStyle w:val="BodyText"/>
        <w:widowControl/>
        <w:numPr>
          <w:ilvl w:val="1"/>
          <w:numId w:val="1"/>
        </w:numPr>
        <w:spacing w:before="0" w:after="0" w:line="276" w:lineRule="auto"/>
        <w:jc w:val="both"/>
        <w:rPr>
          <w:rFonts w:cs="Arial"/>
          <w:szCs w:val="20"/>
        </w:rPr>
      </w:pPr>
      <w:r w:rsidRPr="00810E79">
        <w:rPr>
          <w:rFonts w:cs="Arial"/>
          <w:szCs w:val="20"/>
        </w:rPr>
        <w:t>The relevance of and extra allowances</w:t>
      </w:r>
    </w:p>
    <w:p w:rsidR="00F070DF" w:rsidRPr="00810E79" w:rsidRDefault="00F070DF" w:rsidP="00810E79">
      <w:pPr>
        <w:pStyle w:val="BodyText"/>
        <w:widowControl/>
        <w:numPr>
          <w:ilvl w:val="1"/>
          <w:numId w:val="1"/>
        </w:numPr>
        <w:spacing w:before="0" w:after="0" w:line="276" w:lineRule="auto"/>
        <w:jc w:val="both"/>
        <w:rPr>
          <w:rFonts w:cs="Arial"/>
          <w:szCs w:val="20"/>
        </w:rPr>
      </w:pPr>
      <w:r w:rsidRPr="00810E79">
        <w:rPr>
          <w:rFonts w:cs="Arial"/>
          <w:szCs w:val="20"/>
        </w:rPr>
        <w:t xml:space="preserve">The extent of any relevant daily pay adjustments for sick leave, bereavement leave, public holidays or alternate day payments  </w:t>
      </w:r>
    </w:p>
    <w:p w:rsidR="00F070DF" w:rsidRPr="00810E79" w:rsidRDefault="00F070DF" w:rsidP="00810E79">
      <w:pPr>
        <w:pStyle w:val="BodyText"/>
        <w:widowControl/>
        <w:numPr>
          <w:ilvl w:val="1"/>
          <w:numId w:val="1"/>
        </w:numPr>
        <w:spacing w:before="0" w:after="0" w:line="276" w:lineRule="auto"/>
        <w:jc w:val="both"/>
        <w:rPr>
          <w:rFonts w:cs="Arial"/>
          <w:szCs w:val="20"/>
        </w:rPr>
      </w:pPr>
      <w:r w:rsidRPr="00810E79">
        <w:rPr>
          <w:rFonts w:cs="Arial"/>
          <w:szCs w:val="20"/>
        </w:rPr>
        <w:t>Cashing up of any leave entitleme</w:t>
      </w:r>
      <w:bookmarkStart w:id="0" w:name="_GoBack"/>
      <w:bookmarkEnd w:id="0"/>
      <w:r w:rsidRPr="00810E79">
        <w:rPr>
          <w:rFonts w:cs="Arial"/>
          <w:szCs w:val="20"/>
        </w:rPr>
        <w:t>nt</w:t>
      </w:r>
    </w:p>
    <w:p w:rsidR="00F070DF" w:rsidRPr="00810E79" w:rsidRDefault="00F070DF" w:rsidP="00810E79">
      <w:pPr>
        <w:pStyle w:val="BodyText"/>
        <w:widowControl/>
        <w:numPr>
          <w:ilvl w:val="1"/>
          <w:numId w:val="1"/>
        </w:numPr>
        <w:spacing w:before="0" w:after="0" w:line="276" w:lineRule="auto"/>
        <w:jc w:val="both"/>
        <w:rPr>
          <w:rFonts w:cs="Arial"/>
          <w:szCs w:val="20"/>
        </w:rPr>
      </w:pPr>
      <w:r w:rsidRPr="00810E79">
        <w:rPr>
          <w:rFonts w:cs="Arial"/>
          <w:szCs w:val="20"/>
        </w:rPr>
        <w:t>Leave taken in advance.</w:t>
      </w:r>
    </w:p>
    <w:p w:rsidR="00810E79" w:rsidRPr="00810E79" w:rsidRDefault="00810E79" w:rsidP="00810E79">
      <w:pPr>
        <w:pStyle w:val="BodyText"/>
        <w:spacing w:before="0" w:after="0" w:line="276" w:lineRule="auto"/>
        <w:jc w:val="both"/>
        <w:rPr>
          <w:rFonts w:cs="Arial"/>
          <w:szCs w:val="20"/>
        </w:rPr>
      </w:pPr>
    </w:p>
    <w:p w:rsidR="00F070DF" w:rsidRPr="00810E79" w:rsidRDefault="00F070DF" w:rsidP="00810E79">
      <w:pPr>
        <w:pStyle w:val="BodyText"/>
        <w:spacing w:before="0" w:after="0" w:line="276" w:lineRule="auto"/>
        <w:jc w:val="both"/>
        <w:rPr>
          <w:rFonts w:cs="Arial"/>
          <w:szCs w:val="20"/>
        </w:rPr>
      </w:pPr>
      <w:r w:rsidRPr="00810E79">
        <w:rPr>
          <w:rFonts w:cs="Arial"/>
          <w:szCs w:val="20"/>
        </w:rPr>
        <w:t>Because of these factors, everyone’s back payment will vary.</w:t>
      </w:r>
    </w:p>
    <w:p w:rsidR="00F070DF" w:rsidRPr="00810E79" w:rsidRDefault="00F070DF" w:rsidP="00810E79">
      <w:pPr>
        <w:pStyle w:val="BodyText"/>
        <w:spacing w:before="0" w:after="0" w:line="276" w:lineRule="auto"/>
        <w:jc w:val="both"/>
        <w:rPr>
          <w:rFonts w:cs="Arial"/>
          <w:sz w:val="24"/>
          <w:szCs w:val="20"/>
        </w:rPr>
      </w:pPr>
    </w:p>
    <w:p w:rsidR="00F070DF" w:rsidRPr="00810E79" w:rsidRDefault="00F070DF" w:rsidP="00810E79">
      <w:pPr>
        <w:pStyle w:val="BodyText"/>
        <w:widowControl/>
        <w:numPr>
          <w:ilvl w:val="0"/>
          <w:numId w:val="1"/>
        </w:numPr>
        <w:spacing w:before="0" w:after="0" w:line="276" w:lineRule="auto"/>
        <w:jc w:val="both"/>
        <w:rPr>
          <w:rFonts w:cs="Arial"/>
          <w:b/>
          <w:color w:val="C00000"/>
          <w:szCs w:val="22"/>
        </w:rPr>
      </w:pPr>
      <w:r w:rsidRPr="00810E79">
        <w:rPr>
          <w:rFonts w:cs="Arial"/>
          <w:b/>
          <w:color w:val="C00000"/>
          <w:szCs w:val="22"/>
        </w:rPr>
        <w:t>Are all employees receiving a back payment?</w:t>
      </w:r>
    </w:p>
    <w:p w:rsidR="00810E79" w:rsidRPr="00810E79" w:rsidRDefault="00810E79" w:rsidP="00810E79">
      <w:pPr>
        <w:pStyle w:val="BodyText"/>
        <w:spacing w:before="0" w:after="0" w:line="276" w:lineRule="auto"/>
        <w:jc w:val="both"/>
        <w:rPr>
          <w:rFonts w:cs="Arial"/>
          <w:sz w:val="18"/>
          <w:szCs w:val="20"/>
        </w:rPr>
      </w:pPr>
    </w:p>
    <w:p w:rsidR="00F070DF" w:rsidRPr="00810E79" w:rsidRDefault="00F070DF" w:rsidP="00810E79">
      <w:pPr>
        <w:pStyle w:val="BodyText"/>
        <w:spacing w:before="0" w:after="0" w:line="276" w:lineRule="auto"/>
        <w:jc w:val="both"/>
        <w:rPr>
          <w:rFonts w:cs="Arial"/>
          <w:szCs w:val="20"/>
        </w:rPr>
      </w:pPr>
      <w:r w:rsidRPr="00810E79">
        <w:rPr>
          <w:rFonts w:cs="Arial"/>
          <w:szCs w:val="20"/>
        </w:rPr>
        <w:t>A large number of current and former employees are receiving a payment, but not everyone. It depends on the individual factors listed above.</w:t>
      </w:r>
    </w:p>
    <w:p w:rsidR="00F070DF" w:rsidRPr="00B02F2D" w:rsidRDefault="00F070DF" w:rsidP="00810E79">
      <w:pPr>
        <w:pStyle w:val="BodyText"/>
        <w:spacing w:before="0" w:after="0" w:line="276" w:lineRule="auto"/>
        <w:jc w:val="both"/>
        <w:rPr>
          <w:rFonts w:cs="Arial"/>
          <w:sz w:val="24"/>
          <w:szCs w:val="20"/>
        </w:rPr>
      </w:pPr>
    </w:p>
    <w:p w:rsidR="00F070DF" w:rsidRPr="00810E79" w:rsidRDefault="00F070DF" w:rsidP="00810E79">
      <w:pPr>
        <w:pStyle w:val="BodyText"/>
        <w:widowControl/>
        <w:numPr>
          <w:ilvl w:val="0"/>
          <w:numId w:val="1"/>
        </w:numPr>
        <w:spacing w:before="0" w:after="0" w:line="276" w:lineRule="auto"/>
        <w:jc w:val="both"/>
        <w:rPr>
          <w:rFonts w:cs="Arial"/>
          <w:b/>
          <w:color w:val="C00000"/>
          <w:szCs w:val="22"/>
        </w:rPr>
      </w:pPr>
      <w:r w:rsidRPr="00810E79">
        <w:rPr>
          <w:rFonts w:cs="Arial"/>
          <w:b/>
          <w:color w:val="C00000"/>
          <w:szCs w:val="22"/>
        </w:rPr>
        <w:t>Could this payment take me into a different tax bracket?</w:t>
      </w:r>
    </w:p>
    <w:p w:rsidR="00810E79" w:rsidRPr="00810E79" w:rsidRDefault="00810E79" w:rsidP="00810E79">
      <w:pPr>
        <w:pStyle w:val="BodyText"/>
        <w:spacing w:before="0" w:after="0" w:line="276" w:lineRule="auto"/>
        <w:jc w:val="both"/>
        <w:rPr>
          <w:rFonts w:cs="Arial"/>
          <w:sz w:val="18"/>
          <w:szCs w:val="20"/>
        </w:rPr>
      </w:pPr>
    </w:p>
    <w:p w:rsidR="00F070DF" w:rsidRPr="00810E79" w:rsidRDefault="00F070DF" w:rsidP="00810E79">
      <w:pPr>
        <w:pStyle w:val="BodyText"/>
        <w:spacing w:before="0" w:after="0" w:line="276" w:lineRule="auto"/>
        <w:jc w:val="both"/>
        <w:rPr>
          <w:rFonts w:cs="Arial"/>
          <w:szCs w:val="20"/>
        </w:rPr>
      </w:pPr>
      <w:r w:rsidRPr="00810E79">
        <w:rPr>
          <w:rFonts w:cs="Arial"/>
          <w:szCs w:val="20"/>
        </w:rPr>
        <w:t xml:space="preserve">You may need to check the IRD website at </w:t>
      </w:r>
      <w:hyperlink r:id="rId8" w:history="1">
        <w:r w:rsidRPr="00810E79">
          <w:rPr>
            <w:rStyle w:val="Hyperlink"/>
            <w:rFonts w:cs="Arial"/>
            <w:szCs w:val="20"/>
          </w:rPr>
          <w:t>https://www.ird.govt.nz/</w:t>
        </w:r>
      </w:hyperlink>
      <w:r w:rsidRPr="00810E79">
        <w:rPr>
          <w:rFonts w:cs="Arial"/>
          <w:szCs w:val="20"/>
        </w:rPr>
        <w:t xml:space="preserve"> to see if your total earnings, including your holiday back payments for this financial year, take you into a different tax bracket.</w:t>
      </w:r>
    </w:p>
    <w:p w:rsidR="00810E79" w:rsidRPr="00810E79" w:rsidRDefault="00810E79" w:rsidP="00810E79">
      <w:pPr>
        <w:pStyle w:val="BodyText"/>
        <w:spacing w:before="0" w:after="0" w:line="276" w:lineRule="auto"/>
        <w:jc w:val="both"/>
        <w:rPr>
          <w:rFonts w:cs="Arial"/>
          <w:szCs w:val="20"/>
        </w:rPr>
      </w:pPr>
    </w:p>
    <w:p w:rsidR="00F070DF" w:rsidRPr="00810E79" w:rsidRDefault="00F070DF" w:rsidP="00810E79">
      <w:pPr>
        <w:pStyle w:val="BodyText"/>
        <w:widowControl/>
        <w:numPr>
          <w:ilvl w:val="0"/>
          <w:numId w:val="1"/>
        </w:numPr>
        <w:spacing w:before="0" w:after="0" w:line="276" w:lineRule="auto"/>
        <w:jc w:val="both"/>
        <w:rPr>
          <w:rFonts w:cs="Arial"/>
          <w:b/>
          <w:color w:val="C00000"/>
          <w:szCs w:val="22"/>
        </w:rPr>
      </w:pPr>
      <w:r w:rsidRPr="00810E79">
        <w:rPr>
          <w:rFonts w:cs="Arial"/>
          <w:b/>
          <w:color w:val="C00000"/>
          <w:szCs w:val="22"/>
        </w:rPr>
        <w:t>When did the Citycare holiday pay system change?</w:t>
      </w:r>
    </w:p>
    <w:p w:rsidR="00810E79" w:rsidRPr="00810E79" w:rsidRDefault="00810E79" w:rsidP="00810E79">
      <w:pPr>
        <w:pStyle w:val="BodyText"/>
        <w:spacing w:before="0" w:after="0" w:line="276" w:lineRule="auto"/>
        <w:jc w:val="both"/>
        <w:rPr>
          <w:rFonts w:cs="Arial"/>
          <w:szCs w:val="20"/>
        </w:rPr>
      </w:pPr>
    </w:p>
    <w:p w:rsidR="00F070DF" w:rsidRPr="00810E79" w:rsidRDefault="00F070DF" w:rsidP="00810E79">
      <w:pPr>
        <w:pStyle w:val="BodyText"/>
        <w:spacing w:before="0" w:after="0" w:line="276" w:lineRule="auto"/>
        <w:jc w:val="both"/>
        <w:rPr>
          <w:rFonts w:cs="Arial"/>
          <w:szCs w:val="20"/>
        </w:rPr>
      </w:pPr>
      <w:r w:rsidRPr="00810E79">
        <w:rPr>
          <w:rFonts w:cs="Arial"/>
          <w:szCs w:val="20"/>
        </w:rPr>
        <w:t>It was changed on 12 February 2018.</w:t>
      </w:r>
    </w:p>
    <w:p w:rsidR="00F070DF" w:rsidRPr="00810E79" w:rsidRDefault="00F070DF" w:rsidP="00810E79">
      <w:pPr>
        <w:pStyle w:val="BodyText"/>
        <w:spacing w:before="0" w:after="0" w:line="276" w:lineRule="auto"/>
        <w:jc w:val="both"/>
        <w:rPr>
          <w:rFonts w:cs="Arial"/>
          <w:sz w:val="24"/>
          <w:szCs w:val="20"/>
        </w:rPr>
      </w:pPr>
    </w:p>
    <w:p w:rsidR="00F070DF" w:rsidRPr="00810E79" w:rsidRDefault="00F070DF" w:rsidP="00810E79">
      <w:pPr>
        <w:pStyle w:val="BodyText"/>
        <w:widowControl/>
        <w:numPr>
          <w:ilvl w:val="0"/>
          <w:numId w:val="1"/>
        </w:numPr>
        <w:spacing w:before="0" w:after="0" w:line="276" w:lineRule="auto"/>
        <w:jc w:val="both"/>
        <w:rPr>
          <w:rFonts w:cs="Arial"/>
          <w:b/>
          <w:color w:val="C00000"/>
          <w:szCs w:val="22"/>
        </w:rPr>
      </w:pPr>
      <w:r w:rsidRPr="00810E79">
        <w:rPr>
          <w:rFonts w:cs="Arial"/>
          <w:b/>
          <w:color w:val="C00000"/>
          <w:szCs w:val="22"/>
        </w:rPr>
        <w:t xml:space="preserve">Does my Union know about the back payments Citycare is making? </w:t>
      </w:r>
    </w:p>
    <w:p w:rsidR="00810E79" w:rsidRPr="00810E79" w:rsidRDefault="00810E79" w:rsidP="00810E79">
      <w:pPr>
        <w:pStyle w:val="BodyText"/>
        <w:spacing w:before="0" w:after="0" w:line="276" w:lineRule="auto"/>
        <w:jc w:val="both"/>
        <w:rPr>
          <w:rFonts w:cs="Arial"/>
          <w:szCs w:val="20"/>
        </w:rPr>
      </w:pPr>
    </w:p>
    <w:p w:rsidR="00F070DF" w:rsidRPr="00810E79" w:rsidRDefault="00F070DF" w:rsidP="00810E79">
      <w:pPr>
        <w:pStyle w:val="BodyText"/>
        <w:spacing w:before="0" w:after="0" w:line="276" w:lineRule="auto"/>
        <w:jc w:val="both"/>
        <w:rPr>
          <w:rFonts w:cs="Arial"/>
          <w:szCs w:val="20"/>
        </w:rPr>
      </w:pPr>
      <w:r w:rsidRPr="00810E79">
        <w:rPr>
          <w:rFonts w:cs="Arial"/>
          <w:szCs w:val="20"/>
        </w:rPr>
        <w:t>Yes. Citycare has kept Unions informed about the plans for the back payments from the time the process started through to now. This has included discussing the calculation process used. The calculations are complex and detailed which is why we had an independent expert perform the calculations on our behalf.</w:t>
      </w:r>
    </w:p>
    <w:p w:rsidR="00F070DF" w:rsidRPr="00810E79" w:rsidRDefault="00F070DF" w:rsidP="00810E79">
      <w:pPr>
        <w:pStyle w:val="BodyText"/>
        <w:spacing w:before="0" w:after="0" w:line="276" w:lineRule="auto"/>
        <w:ind w:firstLine="720"/>
        <w:jc w:val="both"/>
        <w:rPr>
          <w:rFonts w:cs="Arial"/>
          <w:sz w:val="24"/>
          <w:szCs w:val="20"/>
        </w:rPr>
      </w:pPr>
    </w:p>
    <w:p w:rsidR="00F070DF" w:rsidRPr="00810E79" w:rsidRDefault="00F070DF" w:rsidP="00810E79">
      <w:pPr>
        <w:pStyle w:val="BodyText"/>
        <w:widowControl/>
        <w:numPr>
          <w:ilvl w:val="0"/>
          <w:numId w:val="1"/>
        </w:numPr>
        <w:spacing w:before="0" w:after="0" w:line="276" w:lineRule="auto"/>
        <w:jc w:val="both"/>
        <w:rPr>
          <w:rFonts w:cs="Arial"/>
          <w:b/>
          <w:color w:val="C00000"/>
          <w:szCs w:val="22"/>
        </w:rPr>
      </w:pPr>
      <w:r w:rsidRPr="00810E79">
        <w:rPr>
          <w:rFonts w:cs="Arial"/>
          <w:b/>
          <w:color w:val="C00000"/>
          <w:szCs w:val="22"/>
        </w:rPr>
        <w:t xml:space="preserve">Will Kiwisaver employer and employee contributions apply? </w:t>
      </w:r>
    </w:p>
    <w:p w:rsidR="00810E79" w:rsidRPr="00810E79" w:rsidRDefault="00810E79" w:rsidP="00810E79">
      <w:pPr>
        <w:pStyle w:val="BodyText"/>
        <w:spacing w:before="0" w:after="0" w:line="276" w:lineRule="auto"/>
        <w:jc w:val="both"/>
        <w:rPr>
          <w:rFonts w:cs="Arial"/>
          <w:szCs w:val="20"/>
        </w:rPr>
      </w:pPr>
    </w:p>
    <w:p w:rsidR="00F070DF" w:rsidRPr="00810E79" w:rsidRDefault="00F070DF" w:rsidP="00810E79">
      <w:pPr>
        <w:pStyle w:val="BodyText"/>
        <w:spacing w:before="0" w:after="0" w:line="276" w:lineRule="auto"/>
        <w:jc w:val="both"/>
        <w:rPr>
          <w:rFonts w:cs="Arial"/>
          <w:szCs w:val="20"/>
        </w:rPr>
      </w:pPr>
      <w:r w:rsidRPr="00810E79">
        <w:rPr>
          <w:rFonts w:cs="Arial"/>
          <w:szCs w:val="20"/>
        </w:rPr>
        <w:t>Yes</w:t>
      </w:r>
      <w:r w:rsidR="00B02F2D">
        <w:rPr>
          <w:rFonts w:cs="Arial"/>
          <w:szCs w:val="20"/>
        </w:rPr>
        <w:t xml:space="preserve"> – for t</w:t>
      </w:r>
      <w:r w:rsidRPr="00810E79">
        <w:rPr>
          <w:rFonts w:cs="Arial"/>
          <w:szCs w:val="20"/>
        </w:rPr>
        <w:t xml:space="preserve">hose employees who are contributing to Kiwisaver at the date the payment is made. </w:t>
      </w:r>
    </w:p>
    <w:p w:rsidR="00F070DF" w:rsidRPr="00810E79" w:rsidRDefault="00F070DF" w:rsidP="00810E79">
      <w:pPr>
        <w:pStyle w:val="BodyText"/>
        <w:spacing w:before="0" w:after="0" w:line="276" w:lineRule="auto"/>
        <w:ind w:firstLine="720"/>
        <w:jc w:val="both"/>
        <w:rPr>
          <w:rFonts w:cs="Arial"/>
          <w:sz w:val="28"/>
          <w:szCs w:val="22"/>
        </w:rPr>
      </w:pPr>
    </w:p>
    <w:p w:rsidR="00F070DF" w:rsidRPr="00810E79" w:rsidRDefault="00F070DF" w:rsidP="00810E79">
      <w:pPr>
        <w:pStyle w:val="BodyText"/>
        <w:numPr>
          <w:ilvl w:val="0"/>
          <w:numId w:val="1"/>
        </w:numPr>
        <w:spacing w:before="0" w:after="0" w:line="276" w:lineRule="auto"/>
        <w:jc w:val="both"/>
        <w:rPr>
          <w:rFonts w:cs="Arial"/>
          <w:b/>
          <w:color w:val="C00000"/>
          <w:szCs w:val="22"/>
        </w:rPr>
      </w:pPr>
      <w:r w:rsidRPr="00810E79">
        <w:rPr>
          <w:rFonts w:cs="Arial"/>
          <w:b/>
          <w:color w:val="C00000"/>
          <w:szCs w:val="22"/>
        </w:rPr>
        <w:t>Will superannuation contributions (other than Kiwisaver) apply?</w:t>
      </w:r>
    </w:p>
    <w:p w:rsidR="00810E79" w:rsidRPr="00810E79" w:rsidRDefault="00810E79" w:rsidP="00810E79">
      <w:pPr>
        <w:pStyle w:val="BodyText"/>
        <w:spacing w:before="0" w:after="0" w:line="276" w:lineRule="auto"/>
        <w:jc w:val="both"/>
        <w:rPr>
          <w:rFonts w:cs="Arial"/>
          <w:szCs w:val="20"/>
        </w:rPr>
      </w:pPr>
    </w:p>
    <w:p w:rsidR="00F070DF" w:rsidRPr="00810E79" w:rsidRDefault="00F070DF" w:rsidP="00810E79">
      <w:pPr>
        <w:pStyle w:val="BodyText"/>
        <w:spacing w:before="0" w:after="0" w:line="276" w:lineRule="auto"/>
        <w:jc w:val="both"/>
        <w:rPr>
          <w:rFonts w:cs="Arial"/>
          <w:szCs w:val="20"/>
        </w:rPr>
      </w:pPr>
      <w:r w:rsidRPr="00810E79">
        <w:rPr>
          <w:rFonts w:cs="Arial"/>
          <w:szCs w:val="20"/>
        </w:rPr>
        <w:t>In the case of current employees deductions for contributions to superannuation schemes will be made in accordance with the rec</w:t>
      </w:r>
      <w:r w:rsidR="00B02F2D">
        <w:rPr>
          <w:rFonts w:cs="Arial"/>
          <w:szCs w:val="20"/>
        </w:rPr>
        <w:t>ords we currently hold for you.</w:t>
      </w:r>
      <w:r w:rsidRPr="00810E79">
        <w:rPr>
          <w:rFonts w:cs="Arial"/>
          <w:szCs w:val="20"/>
        </w:rPr>
        <w:t xml:space="preserve"> In the case of former employees no deductions for contributions to superannuation schemes will be made.  </w:t>
      </w:r>
    </w:p>
    <w:p w:rsidR="00F070DF" w:rsidRPr="00810E79" w:rsidRDefault="00F070DF" w:rsidP="00810E79">
      <w:pPr>
        <w:pStyle w:val="BodyText"/>
        <w:spacing w:before="0" w:after="0" w:line="276" w:lineRule="auto"/>
        <w:ind w:firstLine="720"/>
        <w:jc w:val="both"/>
        <w:rPr>
          <w:rFonts w:cs="Arial"/>
          <w:sz w:val="28"/>
          <w:szCs w:val="22"/>
        </w:rPr>
      </w:pPr>
    </w:p>
    <w:p w:rsidR="00F070DF" w:rsidRPr="00810E79" w:rsidRDefault="00F070DF" w:rsidP="00810E79">
      <w:pPr>
        <w:pStyle w:val="BodyText"/>
        <w:widowControl/>
        <w:numPr>
          <w:ilvl w:val="0"/>
          <w:numId w:val="1"/>
        </w:numPr>
        <w:spacing w:before="0" w:after="0" w:line="276" w:lineRule="auto"/>
        <w:jc w:val="both"/>
        <w:rPr>
          <w:rFonts w:cs="Arial"/>
          <w:b/>
          <w:color w:val="C00000"/>
          <w:szCs w:val="22"/>
        </w:rPr>
      </w:pPr>
      <w:r w:rsidRPr="00810E79">
        <w:rPr>
          <w:rFonts w:cs="Arial"/>
          <w:b/>
          <w:color w:val="C00000"/>
          <w:szCs w:val="22"/>
        </w:rPr>
        <w:t>Do the back pay calculations account for Child Support deductions?</w:t>
      </w:r>
    </w:p>
    <w:p w:rsidR="00810E79" w:rsidRPr="00810E79" w:rsidRDefault="00810E79" w:rsidP="00810E79">
      <w:pPr>
        <w:pStyle w:val="BodyText"/>
        <w:spacing w:before="0" w:after="0" w:line="276" w:lineRule="auto"/>
        <w:jc w:val="both"/>
        <w:rPr>
          <w:rFonts w:cs="Arial"/>
          <w:szCs w:val="20"/>
        </w:rPr>
      </w:pPr>
    </w:p>
    <w:p w:rsidR="00F070DF" w:rsidRPr="00810E79" w:rsidRDefault="00F070DF" w:rsidP="00810E79">
      <w:pPr>
        <w:pStyle w:val="BodyText"/>
        <w:spacing w:before="0" w:after="0" w:line="276" w:lineRule="auto"/>
        <w:jc w:val="both"/>
        <w:rPr>
          <w:rFonts w:cs="Arial"/>
          <w:szCs w:val="20"/>
        </w:rPr>
      </w:pPr>
      <w:r w:rsidRPr="00810E79">
        <w:rPr>
          <w:rFonts w:cs="Arial"/>
          <w:szCs w:val="20"/>
        </w:rPr>
        <w:t xml:space="preserve">No.  But it may impact on future calculations by IRD for Child Support. </w:t>
      </w:r>
    </w:p>
    <w:p w:rsidR="00F070DF" w:rsidRPr="00810E79" w:rsidRDefault="00F070DF" w:rsidP="00810E79">
      <w:pPr>
        <w:pStyle w:val="BodyText"/>
        <w:spacing w:before="0" w:after="0" w:line="276" w:lineRule="auto"/>
        <w:ind w:firstLine="720"/>
        <w:jc w:val="both"/>
        <w:rPr>
          <w:rFonts w:cs="Arial"/>
          <w:sz w:val="24"/>
          <w:szCs w:val="20"/>
        </w:rPr>
      </w:pPr>
    </w:p>
    <w:p w:rsidR="00F070DF" w:rsidRPr="00810E79" w:rsidRDefault="00F070DF" w:rsidP="00810E79">
      <w:pPr>
        <w:pStyle w:val="BodyText"/>
        <w:widowControl/>
        <w:numPr>
          <w:ilvl w:val="0"/>
          <w:numId w:val="1"/>
        </w:numPr>
        <w:spacing w:before="0" w:after="0" w:line="276" w:lineRule="auto"/>
        <w:jc w:val="both"/>
        <w:rPr>
          <w:rFonts w:cs="Arial"/>
          <w:b/>
          <w:color w:val="C00000"/>
          <w:szCs w:val="22"/>
        </w:rPr>
      </w:pPr>
      <w:r w:rsidRPr="00810E79">
        <w:rPr>
          <w:rFonts w:cs="Arial"/>
          <w:b/>
          <w:color w:val="C00000"/>
          <w:szCs w:val="22"/>
        </w:rPr>
        <w:t>Do the back pay calculations include Student Loan deductions?</w:t>
      </w:r>
    </w:p>
    <w:p w:rsidR="00810E79" w:rsidRPr="00810E79" w:rsidRDefault="00810E79" w:rsidP="00810E79">
      <w:pPr>
        <w:pStyle w:val="BodyText"/>
        <w:spacing w:before="0" w:after="0" w:line="276" w:lineRule="auto"/>
        <w:jc w:val="both"/>
        <w:rPr>
          <w:rFonts w:cs="Arial"/>
          <w:szCs w:val="20"/>
        </w:rPr>
      </w:pPr>
    </w:p>
    <w:p w:rsidR="00F070DF" w:rsidRPr="00810E79" w:rsidRDefault="00F070DF" w:rsidP="00810E79">
      <w:pPr>
        <w:pStyle w:val="BodyText"/>
        <w:spacing w:before="0" w:after="0" w:line="276" w:lineRule="auto"/>
        <w:jc w:val="both"/>
        <w:rPr>
          <w:rFonts w:cs="Arial"/>
          <w:szCs w:val="20"/>
        </w:rPr>
      </w:pPr>
      <w:r w:rsidRPr="00810E79">
        <w:rPr>
          <w:rFonts w:cs="Arial"/>
          <w:szCs w:val="20"/>
        </w:rPr>
        <w:t xml:space="preserve">Yes </w:t>
      </w:r>
      <w:r w:rsidR="00B02F2D">
        <w:rPr>
          <w:rFonts w:cs="Arial"/>
          <w:szCs w:val="20"/>
        </w:rPr>
        <w:t>–</w:t>
      </w:r>
      <w:r w:rsidRPr="00810E79">
        <w:rPr>
          <w:rFonts w:cs="Arial"/>
          <w:szCs w:val="20"/>
        </w:rPr>
        <w:t xml:space="preserve"> for</w:t>
      </w:r>
      <w:r w:rsidR="00B02F2D">
        <w:rPr>
          <w:rFonts w:cs="Arial"/>
          <w:szCs w:val="20"/>
        </w:rPr>
        <w:t xml:space="preserve"> </w:t>
      </w:r>
      <w:r w:rsidRPr="00810E79">
        <w:rPr>
          <w:rFonts w:cs="Arial"/>
          <w:szCs w:val="20"/>
        </w:rPr>
        <w:t>those employees who have a student loan tax code.</w:t>
      </w:r>
    </w:p>
    <w:p w:rsidR="00F070DF" w:rsidRPr="00810E79" w:rsidRDefault="00F070DF" w:rsidP="00810E79">
      <w:pPr>
        <w:pStyle w:val="BodyText"/>
        <w:spacing w:before="0" w:after="0" w:line="276" w:lineRule="auto"/>
        <w:ind w:firstLine="720"/>
        <w:jc w:val="both"/>
        <w:rPr>
          <w:rFonts w:cs="Arial"/>
          <w:sz w:val="24"/>
          <w:szCs w:val="20"/>
        </w:rPr>
      </w:pPr>
    </w:p>
    <w:p w:rsidR="00F070DF" w:rsidRPr="00810E79" w:rsidRDefault="00F070DF" w:rsidP="00810E79">
      <w:pPr>
        <w:pStyle w:val="BodyText"/>
        <w:numPr>
          <w:ilvl w:val="0"/>
          <w:numId w:val="1"/>
        </w:numPr>
        <w:spacing w:before="0" w:after="0" w:line="276" w:lineRule="auto"/>
        <w:jc w:val="both"/>
        <w:rPr>
          <w:rFonts w:cs="Arial"/>
          <w:b/>
          <w:color w:val="C00000"/>
          <w:szCs w:val="22"/>
        </w:rPr>
      </w:pPr>
      <w:r w:rsidRPr="00810E79">
        <w:rPr>
          <w:rFonts w:cs="Arial"/>
          <w:b/>
          <w:color w:val="C00000"/>
          <w:szCs w:val="22"/>
        </w:rPr>
        <w:t>Will the back pay calculations affect my “Working for Families</w:t>
      </w:r>
      <w:r w:rsidR="00810E79">
        <w:rPr>
          <w:rFonts w:cs="Arial"/>
          <w:b/>
          <w:color w:val="C00000"/>
          <w:szCs w:val="22"/>
        </w:rPr>
        <w:t>”</w:t>
      </w:r>
      <w:r w:rsidRPr="00810E79">
        <w:rPr>
          <w:rFonts w:cs="Arial"/>
          <w:b/>
          <w:color w:val="C00000"/>
          <w:szCs w:val="22"/>
        </w:rPr>
        <w:t xml:space="preserve"> entitlements?</w:t>
      </w:r>
    </w:p>
    <w:p w:rsidR="00810E79" w:rsidRPr="00810E79" w:rsidRDefault="00810E79" w:rsidP="00810E79">
      <w:pPr>
        <w:pStyle w:val="BodyText"/>
        <w:spacing w:before="0" w:after="0" w:line="276" w:lineRule="auto"/>
        <w:jc w:val="both"/>
        <w:rPr>
          <w:szCs w:val="20"/>
        </w:rPr>
      </w:pPr>
    </w:p>
    <w:p w:rsidR="00F070DF" w:rsidRPr="00810E79" w:rsidRDefault="00F070DF" w:rsidP="00810E79">
      <w:pPr>
        <w:pStyle w:val="BodyText"/>
        <w:spacing w:before="0" w:after="0" w:line="276" w:lineRule="auto"/>
        <w:jc w:val="both"/>
        <w:rPr>
          <w:szCs w:val="20"/>
        </w:rPr>
      </w:pPr>
      <w:r w:rsidRPr="00810E79">
        <w:rPr>
          <w:szCs w:val="20"/>
        </w:rPr>
        <w:t xml:space="preserve">Your back pay may affect your Working for Families entitlement for the year ended 31 March 2019. If you receive weekly or fortnightly Working for Families tax credits you may need to re-estimate your annual family income. Please contact Inland Revenue on 0800 227 773 to discuss your specific situation.   </w:t>
      </w:r>
    </w:p>
    <w:p w:rsidR="00F070DF" w:rsidRPr="00810E79" w:rsidRDefault="00F070DF" w:rsidP="00810E79">
      <w:pPr>
        <w:pStyle w:val="BodyText"/>
        <w:spacing w:before="0" w:after="0" w:line="276" w:lineRule="auto"/>
        <w:jc w:val="both"/>
        <w:rPr>
          <w:sz w:val="24"/>
          <w:szCs w:val="20"/>
        </w:rPr>
      </w:pPr>
    </w:p>
    <w:p w:rsidR="00F070DF" w:rsidRPr="00810E79" w:rsidRDefault="00F070DF" w:rsidP="00810E79">
      <w:pPr>
        <w:pStyle w:val="BodyText"/>
        <w:numPr>
          <w:ilvl w:val="0"/>
          <w:numId w:val="1"/>
        </w:numPr>
        <w:spacing w:before="0" w:after="0" w:line="276" w:lineRule="auto"/>
        <w:jc w:val="both"/>
        <w:rPr>
          <w:rFonts w:cs="Arial"/>
          <w:b/>
          <w:color w:val="C00000"/>
          <w:szCs w:val="22"/>
        </w:rPr>
      </w:pPr>
      <w:r w:rsidRPr="00810E79">
        <w:rPr>
          <w:rFonts w:cs="Arial"/>
          <w:b/>
          <w:color w:val="C00000"/>
          <w:szCs w:val="22"/>
        </w:rPr>
        <w:t xml:space="preserve">Will the back pay affect my New Zealand superannuation payments or Disability Allowance? </w:t>
      </w:r>
    </w:p>
    <w:p w:rsidR="00810E79" w:rsidRPr="00810E79" w:rsidRDefault="00810E79" w:rsidP="00810E79">
      <w:pPr>
        <w:pStyle w:val="BodyText"/>
        <w:spacing w:before="0" w:after="0" w:line="276" w:lineRule="auto"/>
        <w:jc w:val="both"/>
        <w:rPr>
          <w:szCs w:val="20"/>
        </w:rPr>
      </w:pPr>
    </w:p>
    <w:p w:rsidR="00F070DF" w:rsidRPr="00810E79" w:rsidRDefault="00F070DF" w:rsidP="00810E79">
      <w:pPr>
        <w:pStyle w:val="BodyText"/>
        <w:spacing w:before="0" w:after="0" w:line="276" w:lineRule="auto"/>
        <w:jc w:val="both"/>
        <w:rPr>
          <w:szCs w:val="20"/>
        </w:rPr>
      </w:pPr>
      <w:r w:rsidRPr="00810E79">
        <w:rPr>
          <w:szCs w:val="20"/>
        </w:rPr>
        <w:t xml:space="preserve">Your back pay may affect your New Zealand superannuation entitlement for the year ended 31 March 2019 if your spouse or partner is included in your payments (i.e. your super is income tested) or if you receive supplementary assistance (e.g. disability allowance). You may wish to contact Work and Income on 0800 552 002 to discuss your specific situation. </w:t>
      </w:r>
    </w:p>
    <w:p w:rsidR="00F070DF" w:rsidRPr="00810E79" w:rsidRDefault="00F070DF" w:rsidP="00810E79">
      <w:pPr>
        <w:pStyle w:val="BodyText"/>
        <w:spacing w:before="0" w:after="0" w:line="276" w:lineRule="auto"/>
        <w:ind w:left="1440"/>
        <w:jc w:val="both"/>
        <w:rPr>
          <w:sz w:val="24"/>
          <w:szCs w:val="20"/>
        </w:rPr>
      </w:pPr>
    </w:p>
    <w:p w:rsidR="00F070DF" w:rsidRPr="00810E79" w:rsidRDefault="00F070DF" w:rsidP="00810E79">
      <w:pPr>
        <w:pStyle w:val="BodyText"/>
        <w:numPr>
          <w:ilvl w:val="0"/>
          <w:numId w:val="1"/>
        </w:numPr>
        <w:spacing w:before="0" w:after="0" w:line="276" w:lineRule="auto"/>
        <w:jc w:val="both"/>
        <w:rPr>
          <w:rFonts w:cs="Arial"/>
          <w:b/>
          <w:color w:val="C00000"/>
          <w:szCs w:val="22"/>
        </w:rPr>
      </w:pPr>
      <w:r w:rsidRPr="00810E79">
        <w:rPr>
          <w:rFonts w:cs="Arial"/>
          <w:b/>
          <w:color w:val="C00000"/>
          <w:szCs w:val="22"/>
        </w:rPr>
        <w:t>If I want to discuss the payment I have received who do I contact?</w:t>
      </w:r>
    </w:p>
    <w:p w:rsidR="00810E79" w:rsidRPr="00810E79" w:rsidRDefault="00810E79" w:rsidP="00810E79">
      <w:pPr>
        <w:pStyle w:val="BodyText"/>
        <w:widowControl/>
        <w:spacing w:before="0" w:after="0" w:line="276" w:lineRule="auto"/>
        <w:jc w:val="both"/>
        <w:rPr>
          <w:rFonts w:cs="Arial"/>
          <w:szCs w:val="20"/>
        </w:rPr>
      </w:pPr>
    </w:p>
    <w:p w:rsidR="001243E2" w:rsidRPr="00810E79" w:rsidRDefault="00F070DF" w:rsidP="00810E79">
      <w:pPr>
        <w:pStyle w:val="BodyText"/>
        <w:widowControl/>
        <w:spacing w:before="0" w:after="0" w:line="276" w:lineRule="auto"/>
        <w:jc w:val="both"/>
        <w:rPr>
          <w:szCs w:val="20"/>
        </w:rPr>
      </w:pPr>
      <w:r w:rsidRPr="00810E79">
        <w:rPr>
          <w:rFonts w:cs="Arial"/>
          <w:szCs w:val="20"/>
        </w:rPr>
        <w:t xml:space="preserve">Please email any questions to </w:t>
      </w:r>
      <w:hyperlink r:id="rId9" w:history="1">
        <w:r w:rsidRPr="00810E79">
          <w:rPr>
            <w:rStyle w:val="Hyperlink"/>
            <w:szCs w:val="20"/>
          </w:rPr>
          <w:t>holidaysactquery@Citycare.co.nz</w:t>
        </w:r>
      </w:hyperlink>
      <w:r w:rsidRPr="00810E79">
        <w:rPr>
          <w:szCs w:val="20"/>
        </w:rPr>
        <w:t xml:space="preserve"> .</w:t>
      </w:r>
      <w:r w:rsidRPr="00810E79">
        <w:rPr>
          <w:rFonts w:cs="Arial"/>
          <w:szCs w:val="20"/>
        </w:rPr>
        <w:t xml:space="preserve"> We will try to answer your questions as quickly as we can.</w:t>
      </w:r>
    </w:p>
    <w:sectPr w:rsidR="001243E2" w:rsidRPr="00810E79" w:rsidSect="00810E79">
      <w:footerReference w:type="default" r:id="rId10"/>
      <w:pgSz w:w="11906" w:h="16838"/>
      <w:pgMar w:top="1440" w:right="1134"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E79" w:rsidRDefault="00810E79" w:rsidP="00810E79">
      <w:pPr>
        <w:spacing w:after="0" w:line="240" w:lineRule="auto"/>
      </w:pPr>
      <w:r>
        <w:separator/>
      </w:r>
    </w:p>
  </w:endnote>
  <w:endnote w:type="continuationSeparator" w:id="0">
    <w:p w:rsidR="00810E79" w:rsidRDefault="00810E79" w:rsidP="00810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E79" w:rsidRDefault="00CB5534" w:rsidP="00810E79">
    <w:pPr>
      <w:pStyle w:val="Footer"/>
      <w:tabs>
        <w:tab w:val="clear" w:pos="9026"/>
        <w:tab w:val="right" w:pos="9356"/>
      </w:tabs>
    </w:pPr>
    <w:r>
      <w:t>Confidential – do not distribute</w:t>
    </w:r>
    <w:r w:rsidR="00810E79">
      <w:tab/>
    </w:r>
    <w:r w:rsidR="00810E79">
      <w:tab/>
    </w:r>
    <w:r w:rsidR="00810E79">
      <w:fldChar w:fldCharType="begin"/>
    </w:r>
    <w:r w:rsidR="00810E79">
      <w:instrText xml:space="preserve"> PAGE   \* MERGEFORMAT </w:instrText>
    </w:r>
    <w:r w:rsidR="00810E79">
      <w:fldChar w:fldCharType="separate"/>
    </w:r>
    <w:r>
      <w:rPr>
        <w:noProof/>
      </w:rPr>
      <w:t>1</w:t>
    </w:r>
    <w:r w:rsidR="00810E7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E79" w:rsidRDefault="00810E79" w:rsidP="00810E79">
      <w:pPr>
        <w:spacing w:after="0" w:line="240" w:lineRule="auto"/>
      </w:pPr>
      <w:r>
        <w:separator/>
      </w:r>
    </w:p>
  </w:footnote>
  <w:footnote w:type="continuationSeparator" w:id="0">
    <w:p w:rsidR="00810E79" w:rsidRDefault="00810E79" w:rsidP="00810E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CA6BAA"/>
    <w:multiLevelType w:val="hybridMultilevel"/>
    <w:tmpl w:val="1F78A75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55D"/>
    <w:rsid w:val="001243E2"/>
    <w:rsid w:val="0069655D"/>
    <w:rsid w:val="00810E79"/>
    <w:rsid w:val="00B02F2D"/>
    <w:rsid w:val="00CB5534"/>
    <w:rsid w:val="00F070D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74295EA-701B-418E-9E5C-88BDF454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F070DF"/>
    <w:pPr>
      <w:widowControl w:val="0"/>
      <w:spacing w:before="100" w:after="120" w:line="240" w:lineRule="auto"/>
    </w:pPr>
    <w:rPr>
      <w:rFonts w:ascii="Arial" w:eastAsia="Times New Roman" w:hAnsi="Arial" w:cs="Times New Roman"/>
      <w:sz w:val="20"/>
      <w:szCs w:val="24"/>
    </w:rPr>
  </w:style>
  <w:style w:type="character" w:customStyle="1" w:styleId="BodyTextChar">
    <w:name w:val="Body Text Char"/>
    <w:basedOn w:val="DefaultParagraphFont"/>
    <w:link w:val="BodyText"/>
    <w:rsid w:val="00F070DF"/>
    <w:rPr>
      <w:rFonts w:ascii="Arial" w:eastAsia="Times New Roman" w:hAnsi="Arial" w:cs="Times New Roman"/>
      <w:sz w:val="20"/>
      <w:szCs w:val="24"/>
    </w:rPr>
  </w:style>
  <w:style w:type="character" w:styleId="Hyperlink">
    <w:name w:val="Hyperlink"/>
    <w:basedOn w:val="DefaultParagraphFont"/>
    <w:rsid w:val="00F070DF"/>
    <w:rPr>
      <w:rFonts w:ascii="Arial" w:hAnsi="Arial"/>
      <w:color w:val="2B5763"/>
      <w:sz w:val="20"/>
      <w:u w:val="single"/>
    </w:rPr>
  </w:style>
  <w:style w:type="paragraph" w:styleId="BalloonText">
    <w:name w:val="Balloon Text"/>
    <w:basedOn w:val="Normal"/>
    <w:link w:val="BalloonTextChar"/>
    <w:uiPriority w:val="99"/>
    <w:semiHidden/>
    <w:unhideWhenUsed/>
    <w:rsid w:val="00810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E79"/>
    <w:rPr>
      <w:rFonts w:ascii="Tahoma" w:hAnsi="Tahoma" w:cs="Tahoma"/>
      <w:sz w:val="16"/>
      <w:szCs w:val="16"/>
    </w:rPr>
  </w:style>
  <w:style w:type="paragraph" w:styleId="Header">
    <w:name w:val="header"/>
    <w:basedOn w:val="Normal"/>
    <w:link w:val="HeaderChar"/>
    <w:uiPriority w:val="99"/>
    <w:unhideWhenUsed/>
    <w:rsid w:val="00810E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E79"/>
  </w:style>
  <w:style w:type="paragraph" w:styleId="Footer">
    <w:name w:val="footer"/>
    <w:basedOn w:val="Normal"/>
    <w:link w:val="FooterChar"/>
    <w:uiPriority w:val="99"/>
    <w:unhideWhenUsed/>
    <w:rsid w:val="00810E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d.govt.n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olidaysactquery@Citycare.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City Care Limited</Company>
  <LinksUpToDate>false</LinksUpToDate>
  <CharactersWithSpaces>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Leeanne Carson-Hughes</dc:creator>
  <cp:lastModifiedBy>Leeanne Carson-Hughes</cp:lastModifiedBy>
  <cp:revision>3</cp:revision>
  <dcterms:created xsi:type="dcterms:W3CDTF">2018-07-18T05:20:00Z</dcterms:created>
  <dcterms:modified xsi:type="dcterms:W3CDTF">2018-07-19T01:53:00Z</dcterms:modified>
</cp:coreProperties>
</file>